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72CE7BC5" w:rsidR="00B0627C" w:rsidRPr="00C6104B" w:rsidRDefault="00161E86" w:rsidP="00B0627C">
      <w:pPr>
        <w:pStyle w:val="Header"/>
        <w:tabs>
          <w:tab w:val="right" w:pos="9639"/>
        </w:tabs>
        <w:rPr>
          <w:rFonts w:eastAsia="新細明體" w:cs="Arial"/>
          <w:noProof w:val="0"/>
          <w:color w:val="000000" w:themeColor="text1"/>
          <w:sz w:val="24"/>
          <w:szCs w:val="24"/>
          <w:lang w:eastAsia="zh-TW"/>
        </w:rPr>
      </w:pPr>
      <w:bookmarkStart w:id="0" w:name="OLE_LINK103"/>
      <w:bookmarkStart w:id="1" w:name="OLE_LINK104"/>
      <w:r w:rsidRPr="00161E86">
        <w:rPr>
          <w:rFonts w:eastAsia="新細明體" w:cs="Arial"/>
          <w:noProof w:val="0"/>
          <w:sz w:val="24"/>
          <w:szCs w:val="24"/>
          <w:lang w:eastAsia="ja-JP"/>
        </w:rPr>
        <w:t>3GPP TSG-RAN WG4 Meeting #9</w:t>
      </w:r>
      <w:r w:rsidR="003356D7">
        <w:rPr>
          <w:rFonts w:eastAsia="新細明體" w:cs="Arial"/>
          <w:noProof w:val="0"/>
          <w:sz w:val="24"/>
          <w:szCs w:val="24"/>
          <w:lang w:eastAsia="ja-JP"/>
        </w:rPr>
        <w:t>7</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C6104B" w:rsidRPr="00C6104B">
        <w:rPr>
          <w:rFonts w:cs="Arial"/>
          <w:bCs/>
          <w:noProof w:val="0"/>
          <w:color w:val="000000" w:themeColor="text1"/>
          <w:sz w:val="24"/>
          <w:lang w:val="en-GB"/>
        </w:rPr>
        <w:t>R4-2014357</w:t>
      </w:r>
    </w:p>
    <w:p w14:paraId="644FFFBE" w14:textId="77777777" w:rsidR="003356D7" w:rsidRPr="002D4DA1" w:rsidRDefault="003356D7" w:rsidP="003356D7">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p w14:paraId="477077A9" w14:textId="7A8167C6"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A14A52" w:rsidRPr="00A14A52">
        <w:rPr>
          <w:rFonts w:cs="Arial"/>
          <w:b/>
          <w:bCs/>
          <w:color w:val="000000" w:themeColor="text1"/>
          <w:sz w:val="24"/>
        </w:rPr>
        <w:t>7.</w:t>
      </w:r>
      <w:r w:rsidR="00553CD3">
        <w:rPr>
          <w:rFonts w:cs="Arial"/>
          <w:b/>
          <w:bCs/>
          <w:color w:val="000000" w:themeColor="text1"/>
          <w:sz w:val="24"/>
        </w:rPr>
        <w:t>2.1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667136AF"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553CD3" w:rsidRPr="00553CD3">
        <w:rPr>
          <w:rFonts w:ascii="Arial" w:hAnsi="Arial" w:cs="Arial"/>
          <w:b/>
          <w:bCs/>
          <w:color w:val="000000" w:themeColor="text1"/>
        </w:rPr>
        <w:t>Discussion on DAPS handover</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Heading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7544CD58" w14:textId="2F958896" w:rsidR="00A14A52" w:rsidRDefault="00A14A52" w:rsidP="00A14A52">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Pr>
          <w:rFonts w:eastAsiaTheme="minorEastAsia" w:cs="Arial"/>
          <w:sz w:val="22"/>
          <w:lang w:eastAsia="zh-CN"/>
        </w:rPr>
        <w:t xml:space="preserve">last </w:t>
      </w:r>
      <w:r w:rsidR="00553CD3">
        <w:rPr>
          <w:rFonts w:eastAsiaTheme="minorEastAsia" w:cs="Arial"/>
          <w:sz w:val="22"/>
          <w:lang w:eastAsia="zh-CN"/>
        </w:rPr>
        <w:t>#9</w:t>
      </w:r>
      <w:r w:rsidR="003356D7">
        <w:rPr>
          <w:rFonts w:eastAsiaTheme="minorEastAsia" w:cs="Arial"/>
          <w:sz w:val="22"/>
          <w:lang w:eastAsia="zh-TW"/>
        </w:rPr>
        <w:t>6</w:t>
      </w:r>
      <w:r w:rsidR="00553CD3">
        <w:rPr>
          <w:rFonts w:eastAsiaTheme="minorEastAsia" w:cs="Arial"/>
          <w:sz w:val="22"/>
          <w:lang w:eastAsia="zh-TW"/>
        </w:rPr>
        <w:t>-e</w:t>
      </w:r>
      <w:r w:rsidR="00553CD3">
        <w:rPr>
          <w:rFonts w:eastAsiaTheme="minorEastAsia" w:cs="Arial"/>
          <w:sz w:val="22"/>
          <w:lang w:eastAsia="zh-CN"/>
        </w:rPr>
        <w:t xml:space="preserve"> meeting</w:t>
      </w:r>
      <w:r>
        <w:rPr>
          <w:rFonts w:eastAsiaTheme="minorEastAsia" w:cs="Arial"/>
          <w:sz w:val="22"/>
          <w:lang w:eastAsia="zh-CN"/>
        </w:rPr>
        <w:t xml:space="preserve">, </w:t>
      </w:r>
      <w:r w:rsidR="00553CD3" w:rsidRPr="00553CD3">
        <w:rPr>
          <w:rFonts w:eastAsiaTheme="minorEastAsia" w:cs="Arial"/>
          <w:sz w:val="22"/>
          <w:lang w:eastAsia="zh-CN"/>
        </w:rPr>
        <w:t xml:space="preserve">companies </w:t>
      </w:r>
      <w:r w:rsidR="00553CD3">
        <w:rPr>
          <w:rFonts w:eastAsiaTheme="minorEastAsia" w:cs="Arial"/>
          <w:sz w:val="22"/>
          <w:lang w:eastAsia="zh-CN"/>
        </w:rPr>
        <w:t>achieved following agreements</w:t>
      </w:r>
      <w:r w:rsidR="00553CD3" w:rsidRPr="00553CD3">
        <w:rPr>
          <w:rFonts w:eastAsiaTheme="minorEastAsia" w:cs="Arial"/>
          <w:sz w:val="22"/>
          <w:lang w:eastAsia="zh-CN"/>
        </w:rPr>
        <w:t xml:space="preserve"> of dual active protocol stack (DAPS) handover [1]:</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227AFD82" w14:textId="77777777" w:rsidR="00553CD3" w:rsidRPr="004E5BCF" w:rsidRDefault="00553CD3" w:rsidP="00553CD3">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sidRPr="004E5BCF">
              <w:rPr>
                <w:rFonts w:ascii="Times New Roman" w:eastAsia="SimSun" w:hAnsi="Times New Roman" w:cs="Times New Roman"/>
                <w:b/>
                <w:bCs/>
                <w:szCs w:val="20"/>
                <w:lang w:val="en-GB"/>
              </w:rPr>
              <w:t xml:space="preserve">Agreements </w:t>
            </w:r>
            <w:r>
              <w:rPr>
                <w:rFonts w:ascii="Times New Roman" w:eastAsia="SimSun" w:hAnsi="Times New Roman" w:cs="Times New Roman"/>
                <w:b/>
                <w:bCs/>
                <w:szCs w:val="20"/>
                <w:lang w:val="en-GB"/>
              </w:rPr>
              <w:t>for</w:t>
            </w:r>
            <w:r w:rsidRPr="004E5BCF">
              <w:rPr>
                <w:rFonts w:ascii="Times New Roman" w:eastAsia="SimSun" w:hAnsi="Times New Roman" w:cs="Times New Roman"/>
                <w:b/>
                <w:bCs/>
                <w:szCs w:val="20"/>
                <w:lang w:val="en-GB"/>
              </w:rPr>
              <w:t xml:space="preserve"> DAPS </w:t>
            </w:r>
            <w:r>
              <w:rPr>
                <w:rFonts w:ascii="Times New Roman" w:eastAsia="SimSun" w:hAnsi="Times New Roman" w:cs="Times New Roman"/>
                <w:b/>
                <w:bCs/>
                <w:szCs w:val="20"/>
                <w:lang w:val="en-GB"/>
              </w:rPr>
              <w:t>Handover</w:t>
            </w:r>
          </w:p>
          <w:p w14:paraId="60BDF246" w14:textId="1C1D7E68" w:rsidR="00553CD3" w:rsidRPr="003356D7" w:rsidRDefault="003356D7" w:rsidP="003356D7">
            <w:pPr>
              <w:pStyle w:val="ListParagraph"/>
              <w:numPr>
                <w:ilvl w:val="0"/>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Issue 1-1: demodulation performance degradation for async intra-frequency DAPS handover and async intra-band inter-frequency DAPS handover</w:t>
            </w:r>
            <w:r w:rsidR="00553CD3" w:rsidRPr="003356D7">
              <w:rPr>
                <w:rFonts w:ascii="Times New Roman" w:eastAsia="SimSun" w:hAnsi="Times New Roman" w:cs="Times New Roman"/>
                <w:bCs/>
                <w:sz w:val="20"/>
                <w:szCs w:val="20"/>
              </w:rPr>
              <w:br/>
              <w:t xml:space="preserve">Agreement: </w:t>
            </w:r>
            <w:r w:rsidRPr="003356D7">
              <w:rPr>
                <w:rFonts w:ascii="Times New Roman" w:eastAsia="SimSun" w:hAnsi="Times New Roman" w:cs="Times New Roman"/>
                <w:bCs/>
                <w:sz w:val="20"/>
                <w:szCs w:val="20"/>
              </w:rPr>
              <w:t>How to capture the performance degradation for asynchronous cases needs to be further studied</w:t>
            </w:r>
          </w:p>
          <w:p w14:paraId="72045678" w14:textId="5F807AA9" w:rsidR="00553CD3" w:rsidRDefault="00553CD3" w:rsidP="003356D7">
            <w:pPr>
              <w:pStyle w:val="ListParagraph"/>
              <w:numPr>
                <w:ilvl w:val="0"/>
                <w:numId w:val="38"/>
              </w:numPr>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Issue 1-2: </w:t>
            </w:r>
            <w:r w:rsidR="003356D7" w:rsidRPr="003356D7">
              <w:rPr>
                <w:rFonts w:ascii="Times New Roman" w:eastAsia="SimSun" w:hAnsi="Times New Roman" w:cs="Times New Roman"/>
                <w:bCs/>
                <w:sz w:val="20"/>
                <w:szCs w:val="20"/>
              </w:rPr>
              <w:t>requirement applicability</w:t>
            </w:r>
            <w:r w:rsidRPr="00553CD3">
              <w:rPr>
                <w:rFonts w:ascii="Times New Roman" w:eastAsia="SimSun" w:hAnsi="Times New Roman" w:cs="Times New Roman"/>
                <w:bCs/>
                <w:sz w:val="20"/>
                <w:szCs w:val="20"/>
              </w:rPr>
              <w:br/>
              <w:t xml:space="preserve">Agreement: </w:t>
            </w:r>
            <w:r w:rsidR="003356D7" w:rsidRPr="003356D7">
              <w:rPr>
                <w:rFonts w:ascii="Times New Roman" w:eastAsia="SimSun" w:hAnsi="Times New Roman" w:cs="Times New Roman"/>
                <w:bCs/>
                <w:sz w:val="20"/>
                <w:szCs w:val="20"/>
              </w:rPr>
              <w:t>update existing applicability to</w:t>
            </w:r>
          </w:p>
          <w:p w14:paraId="2FF7947F" w14:textId="77777777" w:rsidR="003356D7" w:rsidRPr="003356D7" w:rsidRDefault="003356D7" w:rsidP="003356D7">
            <w:pPr>
              <w:pStyle w:val="ListParagraph"/>
              <w:numPr>
                <w:ilvl w:val="1"/>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 xml:space="preserve">requirements only apply if </w:t>
            </w:r>
            <w:r w:rsidRPr="003356D7">
              <w:rPr>
                <w:rFonts w:ascii="Times New Roman" w:eastAsia="SimSun" w:hAnsi="Times New Roman" w:cs="Times New Roman"/>
                <w:bCs/>
                <w:sz w:val="20"/>
                <w:szCs w:val="20"/>
              </w:rPr>
              <w:tab/>
            </w:r>
          </w:p>
          <w:p w14:paraId="48089D49" w14:textId="77777777" w:rsidR="003356D7" w:rsidRPr="003356D7" w:rsidRDefault="003356D7" w:rsidP="003356D7">
            <w:pPr>
              <w:pStyle w:val="ListParagraph"/>
              <w:numPr>
                <w:ilvl w:val="2"/>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 xml:space="preserve">the UE indicates ‘no-gap’ via </w:t>
            </w:r>
            <w:r w:rsidRPr="003356D7">
              <w:rPr>
                <w:rFonts w:ascii="Times New Roman" w:eastAsia="SimSun" w:hAnsi="Times New Roman" w:cs="Times New Roman"/>
                <w:bCs/>
                <w:i/>
                <w:sz w:val="20"/>
                <w:szCs w:val="20"/>
              </w:rPr>
              <w:t>intraFreq-needForGap</w:t>
            </w:r>
            <w:r w:rsidRPr="003356D7">
              <w:rPr>
                <w:rFonts w:ascii="Times New Roman" w:eastAsia="SimSun" w:hAnsi="Times New Roman" w:cs="Times New Roman"/>
                <w:bCs/>
                <w:sz w:val="20"/>
                <w:szCs w:val="20"/>
              </w:rPr>
              <w:t xml:space="preserve"> for intra-frequency measurement of source cell and intra-frequency measurement of target cell, or    </w:t>
            </w:r>
          </w:p>
          <w:p w14:paraId="0D86C87F" w14:textId="77777777" w:rsidR="003356D7" w:rsidRPr="003356D7" w:rsidRDefault="003356D7" w:rsidP="003356D7">
            <w:pPr>
              <w:pStyle w:val="ListParagraph"/>
              <w:numPr>
                <w:ilvl w:val="2"/>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the SSB of source cell is completely contained in the active DL BWP of the source cell, and the SSB of target cell is completely contained in the active DL BWP of the target cell, or</w:t>
            </w:r>
          </w:p>
          <w:p w14:paraId="5EEEA153" w14:textId="06C674DA" w:rsidR="003356D7" w:rsidRPr="00553CD3" w:rsidRDefault="003356D7" w:rsidP="003356D7">
            <w:pPr>
              <w:pStyle w:val="ListParagraph"/>
              <w:numPr>
                <w:ilvl w:val="2"/>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the initial DL and UL BWP of source cell is confined within the active DL and UL BWP of the source cell respectively, and the initial DL and UL BWP of target cell is confined within the active DL and UL BWP of the target cell respectively.</w:t>
            </w:r>
          </w:p>
          <w:p w14:paraId="04FC8145" w14:textId="77777777" w:rsidR="003356D7" w:rsidRDefault="00553CD3" w:rsidP="003356D7">
            <w:pPr>
              <w:pStyle w:val="ListParagraph"/>
              <w:numPr>
                <w:ilvl w:val="0"/>
                <w:numId w:val="38"/>
              </w:numPr>
              <w:rPr>
                <w:rFonts w:ascii="Times New Roman" w:eastAsia="SimSun" w:hAnsi="Times New Roman" w:cs="Times New Roman"/>
                <w:bCs/>
                <w:sz w:val="20"/>
                <w:szCs w:val="20"/>
              </w:rPr>
            </w:pPr>
            <w:r w:rsidRPr="00553CD3">
              <w:rPr>
                <w:rFonts w:ascii="Times New Roman" w:eastAsia="SimSun" w:hAnsi="Times New Roman" w:cs="Times New Roman"/>
                <w:bCs/>
                <w:sz w:val="20"/>
                <w:szCs w:val="20"/>
              </w:rPr>
              <w:t xml:space="preserve">Issue 1-3: </w:t>
            </w:r>
            <w:r w:rsidR="003356D7" w:rsidRPr="003356D7">
              <w:rPr>
                <w:rFonts w:ascii="Times New Roman" w:eastAsia="SimSun" w:hAnsi="Times New Roman" w:cs="Times New Roman"/>
                <w:bCs/>
                <w:sz w:val="20"/>
                <w:szCs w:val="20"/>
              </w:rPr>
              <w:t>new UE capability regarding uplink Tx switching</w:t>
            </w:r>
            <w:r w:rsidR="003356D7">
              <w:rPr>
                <w:rFonts w:ascii="Times New Roman" w:eastAsia="SimSun" w:hAnsi="Times New Roman" w:cs="Times New Roman"/>
                <w:bCs/>
                <w:sz w:val="20"/>
                <w:szCs w:val="20"/>
              </w:rPr>
              <w:br/>
            </w:r>
            <w:r w:rsidR="003356D7" w:rsidRPr="003356D7">
              <w:rPr>
                <w:rFonts w:ascii="Times New Roman" w:eastAsia="SimSun" w:hAnsi="Times New Roman" w:cs="Times New Roman"/>
                <w:bCs/>
                <w:sz w:val="20"/>
                <w:szCs w:val="20"/>
              </w:rPr>
              <w:t xml:space="preserve">Agreement: </w:t>
            </w:r>
          </w:p>
          <w:p w14:paraId="07D4ED81" w14:textId="77777777" w:rsidR="003356D7" w:rsidRDefault="003356D7" w:rsidP="003356D7">
            <w:pPr>
              <w:pStyle w:val="ListParagraph"/>
              <w:numPr>
                <w:ilvl w:val="1"/>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No agreement in RAN4#96e to introduce the UE capability for UE which doesn’t support simultaneous UL transmission to indicated whether the uplink Tx switching between source cell(s) and target cell(s) for inter-frequency DAPS handover is supported and what switching period is required for UE switching between source and target uplink carriers.</w:t>
            </w:r>
          </w:p>
          <w:p w14:paraId="7C496D53" w14:textId="69697C8E" w:rsidR="00552D0E" w:rsidRPr="003356D7" w:rsidRDefault="003356D7" w:rsidP="003356D7">
            <w:pPr>
              <w:pStyle w:val="ListParagraph"/>
              <w:numPr>
                <w:ilvl w:val="1"/>
                <w:numId w:val="38"/>
              </w:numPr>
              <w:rPr>
                <w:rFonts w:ascii="Times New Roman" w:eastAsia="SimSun" w:hAnsi="Times New Roman" w:cs="Times New Roman"/>
                <w:bCs/>
                <w:sz w:val="20"/>
                <w:szCs w:val="20"/>
              </w:rPr>
            </w:pPr>
            <w:r w:rsidRPr="003356D7">
              <w:rPr>
                <w:rFonts w:ascii="Times New Roman" w:eastAsia="SimSun" w:hAnsi="Times New Roman" w:cs="Times New Roman"/>
                <w:bCs/>
                <w:sz w:val="20"/>
                <w:szCs w:val="20"/>
              </w:rPr>
              <w:t>This new UE capability can be considered in future release.</w:t>
            </w:r>
          </w:p>
        </w:tc>
      </w:tr>
    </w:tbl>
    <w:p w14:paraId="38778D22" w14:textId="25DF13D0" w:rsidR="00553CD3" w:rsidRPr="002019F4" w:rsidRDefault="00553CD3" w:rsidP="00553CD3">
      <w:pPr>
        <w:pStyle w:val="Doc-text2"/>
        <w:tabs>
          <w:tab w:val="left" w:pos="340"/>
        </w:tabs>
        <w:spacing w:before="120" w:after="120"/>
        <w:ind w:left="0" w:firstLine="0"/>
        <w:jc w:val="both"/>
        <w:rPr>
          <w:rFonts w:eastAsiaTheme="minorEastAsia" w:cs="Arial"/>
          <w:sz w:val="22"/>
          <w:lang w:val="en-GB" w:eastAsia="zh-TW"/>
        </w:rPr>
      </w:pPr>
      <w:bookmarkStart w:id="7" w:name="_Ref32352040"/>
      <w:r w:rsidRPr="002019F4">
        <w:rPr>
          <w:rFonts w:eastAsiaTheme="minorEastAsia" w:cs="Arial" w:hint="eastAsia"/>
          <w:sz w:val="22"/>
          <w:lang w:val="en-GB" w:eastAsia="zh-TW"/>
        </w:rPr>
        <w:t xml:space="preserve">In this paper, we discuss </w:t>
      </w:r>
      <w:r w:rsidR="003356D7">
        <w:rPr>
          <w:rFonts w:eastAsiaTheme="minorEastAsia" w:cs="Arial"/>
          <w:sz w:val="22"/>
          <w:lang w:val="en-GB" w:eastAsia="zh-TW"/>
        </w:rPr>
        <w:t>opened issue</w:t>
      </w:r>
      <w:r w:rsidRPr="002019F4">
        <w:rPr>
          <w:rFonts w:eastAsiaTheme="minorEastAsia" w:cs="Arial" w:hint="eastAsia"/>
          <w:sz w:val="22"/>
          <w:lang w:val="en-GB" w:eastAsia="zh-TW"/>
        </w:rPr>
        <w:t xml:space="preserve"> </w:t>
      </w:r>
      <w:r w:rsidR="003356D7">
        <w:rPr>
          <w:rFonts w:eastAsiaTheme="minorEastAsia" w:cs="Arial"/>
          <w:sz w:val="22"/>
          <w:lang w:val="en-GB" w:eastAsia="zh-TW"/>
        </w:rPr>
        <w:t>on h</w:t>
      </w:r>
      <w:r w:rsidR="003356D7" w:rsidRPr="003356D7">
        <w:rPr>
          <w:rFonts w:eastAsiaTheme="minorEastAsia" w:cs="Arial"/>
          <w:sz w:val="22"/>
          <w:lang w:val="en-GB" w:eastAsia="zh-TW"/>
        </w:rPr>
        <w:t>ow to capture the performance degradation</w:t>
      </w:r>
      <w:r w:rsidR="003356D7">
        <w:rPr>
          <w:rFonts w:eastAsiaTheme="minorEastAsia" w:cs="Arial"/>
          <w:sz w:val="22"/>
          <w:lang w:val="en-GB" w:eastAsia="zh-TW"/>
        </w:rPr>
        <w:t xml:space="preserve"> </w:t>
      </w:r>
      <w:r w:rsidR="003356D7" w:rsidRPr="003356D7">
        <w:rPr>
          <w:rFonts w:eastAsiaTheme="minorEastAsia" w:cs="Arial"/>
          <w:sz w:val="22"/>
          <w:lang w:val="en-GB" w:eastAsia="zh-TW"/>
        </w:rPr>
        <w:t xml:space="preserve">for </w:t>
      </w:r>
      <w:r w:rsidR="00C774EA" w:rsidRPr="00C774EA">
        <w:rPr>
          <w:rFonts w:eastAsiaTheme="minorEastAsia" w:cs="Arial"/>
          <w:sz w:val="22"/>
          <w:lang w:val="en-GB" w:eastAsia="zh-TW"/>
        </w:rPr>
        <w:t xml:space="preserve">asynchronous </w:t>
      </w:r>
      <w:r w:rsidR="003356D7" w:rsidRPr="003356D7">
        <w:rPr>
          <w:rFonts w:eastAsiaTheme="minorEastAsia" w:cs="Arial"/>
          <w:sz w:val="22"/>
          <w:lang w:val="en-GB" w:eastAsia="zh-TW"/>
        </w:rPr>
        <w:t xml:space="preserve">intra-frequency DAPS handover and </w:t>
      </w:r>
      <w:r w:rsidR="00C774EA" w:rsidRPr="00C774EA">
        <w:rPr>
          <w:rFonts w:eastAsiaTheme="minorEastAsia" w:cs="Arial"/>
          <w:sz w:val="22"/>
          <w:lang w:val="en-GB" w:eastAsia="zh-TW"/>
        </w:rPr>
        <w:t xml:space="preserve">asynchronous </w:t>
      </w:r>
      <w:r w:rsidR="003356D7" w:rsidRPr="003356D7">
        <w:rPr>
          <w:rFonts w:eastAsiaTheme="minorEastAsia" w:cs="Arial"/>
          <w:sz w:val="22"/>
          <w:lang w:val="en-GB" w:eastAsia="zh-TW"/>
        </w:rPr>
        <w:t>intra-band inter-frequency DAPS handover</w:t>
      </w:r>
      <w:r w:rsidR="003356D7">
        <w:rPr>
          <w:rFonts w:eastAsiaTheme="minorEastAsia" w:cs="Arial"/>
          <w:sz w:val="22"/>
          <w:lang w:val="en-GB" w:eastAsia="zh-TW"/>
        </w:rPr>
        <w:t xml:space="preserve"> in the core part spec.</w:t>
      </w:r>
      <w:r w:rsidR="003356D7" w:rsidRPr="003356D7">
        <w:rPr>
          <w:rFonts w:eastAsiaTheme="minorEastAsia" w:cs="Arial"/>
          <w:sz w:val="22"/>
          <w:lang w:val="en-GB" w:eastAsia="zh-TW"/>
        </w:rPr>
        <w:t xml:space="preserve"> </w:t>
      </w:r>
    </w:p>
    <w:p w14:paraId="62BA15CC" w14:textId="6368F8FF" w:rsidR="00B0627C" w:rsidRDefault="00B0627C" w:rsidP="00B0627C">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bookmarkEnd w:id="7"/>
    </w:p>
    <w:p w14:paraId="13FAAFD5" w14:textId="6899A717" w:rsidR="003356D7" w:rsidRDefault="00A14A52" w:rsidP="00B0627C">
      <w:pPr>
        <w:jc w:val="both"/>
        <w:rPr>
          <w:rFonts w:ascii="Arial" w:hAnsi="Arial" w:cs="Arial"/>
        </w:rPr>
      </w:pPr>
      <w:r>
        <w:rPr>
          <w:rFonts w:ascii="Arial" w:hAnsi="Arial" w:cs="Arial"/>
        </w:rPr>
        <w:t xml:space="preserve">In </w:t>
      </w:r>
      <w:r w:rsidR="00D57B41">
        <w:rPr>
          <w:rFonts w:ascii="Arial" w:hAnsi="Arial" w:cs="Arial"/>
        </w:rPr>
        <w:t xml:space="preserve">CR agreed in last </w:t>
      </w:r>
      <w:r>
        <w:rPr>
          <w:rFonts w:ascii="Arial" w:hAnsi="Arial" w:cs="Arial"/>
        </w:rPr>
        <w:t>RAN4 meeting</w:t>
      </w:r>
      <w:r w:rsidR="00D57B41">
        <w:rPr>
          <w:rFonts w:ascii="Arial" w:hAnsi="Arial" w:cs="Arial"/>
        </w:rPr>
        <w:t xml:space="preserve"> </w:t>
      </w:r>
      <w:r w:rsidR="00D57B41">
        <w:rPr>
          <w:rFonts w:ascii="Arial" w:hAnsi="Arial" w:cs="Arial"/>
        </w:rPr>
        <w:fldChar w:fldCharType="begin"/>
      </w:r>
      <w:r w:rsidR="00D57B41">
        <w:rPr>
          <w:rFonts w:ascii="Arial" w:hAnsi="Arial" w:cs="Arial"/>
        </w:rPr>
        <w:instrText xml:space="preserve"> REF _Ref47553521 \n \h </w:instrText>
      </w:r>
      <w:r w:rsidR="00D57B41">
        <w:rPr>
          <w:rFonts w:ascii="Arial" w:hAnsi="Arial" w:cs="Arial"/>
        </w:rPr>
      </w:r>
      <w:r w:rsidR="00D57B41">
        <w:rPr>
          <w:rFonts w:ascii="Arial" w:hAnsi="Arial" w:cs="Arial"/>
        </w:rPr>
        <w:fldChar w:fldCharType="separate"/>
      </w:r>
      <w:r w:rsidR="00E814B2">
        <w:rPr>
          <w:rFonts w:ascii="Arial" w:hAnsi="Arial" w:cs="Arial"/>
        </w:rPr>
        <w:t>[2]</w:t>
      </w:r>
      <w:r w:rsidR="00D57B41">
        <w:rPr>
          <w:rFonts w:ascii="Arial" w:hAnsi="Arial" w:cs="Arial"/>
        </w:rPr>
        <w:fldChar w:fldCharType="end"/>
      </w:r>
      <w:r>
        <w:rPr>
          <w:rFonts w:ascii="Arial" w:hAnsi="Arial" w:cs="Arial"/>
        </w:rPr>
        <w:t xml:space="preserve">, </w:t>
      </w:r>
      <w:r w:rsidR="00D57B41">
        <w:rPr>
          <w:rFonts w:ascii="Arial" w:hAnsi="Arial" w:cs="Arial"/>
        </w:rPr>
        <w:t>s</w:t>
      </w:r>
      <w:r w:rsidR="00D57B41" w:rsidRPr="00D57B41">
        <w:rPr>
          <w:rFonts w:ascii="Arial" w:hAnsi="Arial" w:cs="Arial"/>
        </w:rPr>
        <w:t>ync condition</w:t>
      </w:r>
      <w:r w:rsidR="00D57B41">
        <w:rPr>
          <w:rFonts w:ascii="Arial" w:hAnsi="Arial" w:cs="Arial"/>
        </w:rPr>
        <w:t>s</w:t>
      </w:r>
      <w:r w:rsidR="00D57B41" w:rsidRPr="00D57B41">
        <w:rPr>
          <w:rFonts w:ascii="Arial" w:hAnsi="Arial" w:cs="Arial"/>
        </w:rPr>
        <w:t xml:space="preserve"> for FR1 DAPS handover</w:t>
      </w:r>
      <w:r w:rsidR="00D57B41">
        <w:rPr>
          <w:rFonts w:ascii="Arial" w:hAnsi="Arial" w:cs="Arial"/>
        </w:rPr>
        <w:t xml:space="preserve"> are </w:t>
      </w:r>
      <w:r w:rsidR="003356D7">
        <w:rPr>
          <w:rFonts w:ascii="Arial" w:hAnsi="Arial" w:cs="Arial"/>
        </w:rPr>
        <w:t>modified</w:t>
      </w:r>
      <w:r w:rsidR="00D57B41">
        <w:rPr>
          <w:rFonts w:ascii="Arial" w:hAnsi="Arial" w:cs="Arial"/>
        </w:rPr>
        <w:t xml:space="preserve">. </w:t>
      </w:r>
      <w:r w:rsidR="003356D7">
        <w:rPr>
          <w:rFonts w:ascii="Arial" w:hAnsi="Arial" w:cs="Arial"/>
        </w:rPr>
        <w:t xml:space="preserve">The notes of performance degradation for synchronous and asynchronous </w:t>
      </w:r>
      <w:r w:rsidR="003356D7" w:rsidRPr="003356D7">
        <w:rPr>
          <w:rFonts w:ascii="Arial" w:hAnsi="Arial" w:cs="Arial"/>
        </w:rPr>
        <w:t>DAPS handover</w:t>
      </w:r>
      <w:r w:rsidR="0075290F">
        <w:rPr>
          <w:rFonts w:ascii="Arial" w:hAnsi="Arial" w:cs="Arial"/>
        </w:rPr>
        <w:t xml:space="preserve"> are separated. However, companies still did not reach consensus on how to </w:t>
      </w:r>
      <w:r w:rsidR="0075290F" w:rsidRPr="0075290F">
        <w:rPr>
          <w:rFonts w:ascii="Arial" w:hAnsi="Arial" w:cs="Arial"/>
        </w:rPr>
        <w:t>capture the performance degradation for async intra-frequency DAPS handover and async intra-band inter-frequency DAPS handover</w:t>
      </w:r>
      <w:r w:rsidR="0075290F">
        <w:rPr>
          <w:rFonts w:ascii="Arial" w:hAnsi="Arial" w:cs="Arial"/>
        </w:rPr>
        <w:t xml:space="preserve">. As we mentioned in the last meeting, </w:t>
      </w:r>
      <w:r w:rsidR="0075290F" w:rsidRPr="0075290F">
        <w:rPr>
          <w:rFonts w:ascii="Arial" w:hAnsi="Arial" w:cs="Arial"/>
        </w:rPr>
        <w:t xml:space="preserve">UE </w:t>
      </w:r>
      <w:r w:rsidR="0075290F">
        <w:rPr>
          <w:rFonts w:ascii="Arial" w:hAnsi="Arial" w:cs="Arial"/>
        </w:rPr>
        <w:t xml:space="preserve">generally </w:t>
      </w:r>
      <w:r w:rsidR="0075290F" w:rsidRPr="0075290F">
        <w:rPr>
          <w:rFonts w:ascii="Arial" w:hAnsi="Arial" w:cs="Arial"/>
        </w:rPr>
        <w:t>conduct</w:t>
      </w:r>
      <w:r w:rsidR="0075290F">
        <w:rPr>
          <w:rFonts w:ascii="Arial" w:hAnsi="Arial" w:cs="Arial"/>
        </w:rPr>
        <w:t>s</w:t>
      </w:r>
      <w:r w:rsidR="0075290F" w:rsidRPr="0075290F">
        <w:rPr>
          <w:rFonts w:ascii="Arial" w:hAnsi="Arial" w:cs="Arial"/>
        </w:rPr>
        <w:t xml:space="preserve"> the RF gain retuning in the first CP of a slot. As shown in the</w:t>
      </w:r>
      <w:r w:rsidR="0075290F">
        <w:rPr>
          <w:rFonts w:ascii="Arial" w:hAnsi="Arial" w:cs="Arial"/>
        </w:rPr>
        <w:t xml:space="preserve"> </w:t>
      </w:r>
      <w:r w:rsidR="0075290F">
        <w:rPr>
          <w:rFonts w:ascii="Arial" w:hAnsi="Arial" w:cs="Arial"/>
        </w:rPr>
        <w:fldChar w:fldCharType="begin"/>
      </w:r>
      <w:r w:rsidR="0075290F">
        <w:rPr>
          <w:rFonts w:ascii="Arial" w:hAnsi="Arial" w:cs="Arial"/>
        </w:rPr>
        <w:instrText xml:space="preserve"> REF _Ref54212129 \h </w:instrText>
      </w:r>
      <w:r w:rsidR="0075290F">
        <w:rPr>
          <w:rFonts w:ascii="Arial" w:hAnsi="Arial" w:cs="Arial"/>
        </w:rPr>
      </w:r>
      <w:r w:rsidR="0075290F">
        <w:rPr>
          <w:rFonts w:ascii="Arial" w:hAnsi="Arial" w:cs="Arial"/>
        </w:rPr>
        <w:fldChar w:fldCharType="separate"/>
      </w:r>
      <w:r w:rsidR="00E814B2" w:rsidRPr="0075290F">
        <w:rPr>
          <w:rFonts w:ascii="Arial" w:hAnsi="Arial" w:cs="Arial"/>
        </w:rPr>
        <w:t xml:space="preserve">Figure </w:t>
      </w:r>
      <w:r w:rsidR="00E814B2">
        <w:rPr>
          <w:rFonts w:ascii="Arial" w:hAnsi="Arial" w:cs="Arial"/>
          <w:noProof/>
        </w:rPr>
        <w:t>1</w:t>
      </w:r>
      <w:r w:rsidR="0075290F">
        <w:rPr>
          <w:rFonts w:ascii="Arial" w:hAnsi="Arial" w:cs="Arial"/>
        </w:rPr>
        <w:fldChar w:fldCharType="end"/>
      </w:r>
      <w:r w:rsidR="0075290F" w:rsidRPr="0075290F">
        <w:rPr>
          <w:rFonts w:ascii="Arial" w:hAnsi="Arial" w:cs="Arial"/>
        </w:rPr>
        <w:t>, if MRTD is larger than the symbol length and UE adjust</w:t>
      </w:r>
      <w:r w:rsidR="00550E16">
        <w:rPr>
          <w:rFonts w:ascii="Arial" w:hAnsi="Arial" w:cs="Arial"/>
        </w:rPr>
        <w:t>s</w:t>
      </w:r>
      <w:r w:rsidR="0075290F" w:rsidRPr="0075290F">
        <w:rPr>
          <w:rFonts w:ascii="Arial" w:hAnsi="Arial" w:cs="Arial"/>
        </w:rPr>
        <w:t xml:space="preserve"> its RF gain based on the target cell’s timing, then it would impact the </w:t>
      </w:r>
      <w:r w:rsidR="0075290F">
        <w:rPr>
          <w:rFonts w:ascii="Arial" w:hAnsi="Arial" w:cs="Arial"/>
        </w:rPr>
        <w:t>d</w:t>
      </w:r>
      <w:r w:rsidR="0075290F" w:rsidRPr="0075290F">
        <w:rPr>
          <w:rFonts w:ascii="Arial" w:hAnsi="Arial" w:cs="Arial"/>
        </w:rPr>
        <w:t xml:space="preserve">emodulation performance in the </w:t>
      </w:r>
      <w:r w:rsidR="00C774EA">
        <w:rPr>
          <w:rFonts w:ascii="Arial" w:hAnsi="Arial" w:cs="Arial"/>
        </w:rPr>
        <w:t>symbol other than first</w:t>
      </w:r>
      <w:r w:rsidR="0075290F" w:rsidRPr="0075290F">
        <w:rPr>
          <w:rFonts w:ascii="Arial" w:hAnsi="Arial" w:cs="Arial"/>
        </w:rPr>
        <w:t xml:space="preserve"> symbol of a </w:t>
      </w:r>
      <w:r w:rsidR="00550E16">
        <w:rPr>
          <w:rFonts w:ascii="Arial" w:hAnsi="Arial" w:cs="Arial"/>
        </w:rPr>
        <w:t xml:space="preserve">serving cell </w:t>
      </w:r>
      <w:r w:rsidR="0075290F" w:rsidRPr="0075290F">
        <w:rPr>
          <w:rFonts w:ascii="Arial" w:hAnsi="Arial" w:cs="Arial"/>
        </w:rPr>
        <w:t xml:space="preserve">slot.   </w:t>
      </w:r>
    </w:p>
    <w:p w14:paraId="38C1246F" w14:textId="1B554F8B" w:rsidR="0075290F" w:rsidRDefault="0075290F" w:rsidP="00B0627C">
      <w:pPr>
        <w:jc w:val="both"/>
        <w:rPr>
          <w:rFonts w:ascii="Arial" w:hAnsi="Arial" w:cs="Arial"/>
        </w:rPr>
      </w:pPr>
      <w:r>
        <w:rPr>
          <w:rFonts w:ascii="Arial" w:hAnsi="Arial" w:cs="Arial"/>
          <w:noProof/>
        </w:rPr>
        <w:drawing>
          <wp:inline distT="0" distB="0" distL="0" distR="0" wp14:anchorId="0A6983A6" wp14:editId="404C70AA">
            <wp:extent cx="6131707" cy="1655283"/>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3822" cy="1663952"/>
                    </a:xfrm>
                    <a:prstGeom prst="rect">
                      <a:avLst/>
                    </a:prstGeom>
                    <a:noFill/>
                  </pic:spPr>
                </pic:pic>
              </a:graphicData>
            </a:graphic>
          </wp:inline>
        </w:drawing>
      </w:r>
    </w:p>
    <w:p w14:paraId="68A5C78F" w14:textId="5604C98F" w:rsidR="0075290F" w:rsidRPr="004604EE" w:rsidRDefault="0075290F" w:rsidP="0075290F">
      <w:pPr>
        <w:pStyle w:val="Caption"/>
        <w:jc w:val="center"/>
        <w:rPr>
          <w:rFonts w:ascii="Arial" w:hAnsi="Arial" w:cs="Arial"/>
        </w:rPr>
      </w:pPr>
      <w:bookmarkStart w:id="8" w:name="_Ref54212129"/>
      <w:bookmarkStart w:id="9" w:name="_Toc45554971"/>
      <w:r w:rsidRPr="0075290F">
        <w:rPr>
          <w:rFonts w:ascii="Arial" w:hAnsi="Arial" w:cs="Arial"/>
        </w:rPr>
        <w:t xml:space="preserve">Figure </w:t>
      </w:r>
      <w:r w:rsidRPr="0075290F">
        <w:rPr>
          <w:rFonts w:ascii="Arial" w:hAnsi="Arial" w:cs="Arial"/>
        </w:rPr>
        <w:fldChar w:fldCharType="begin"/>
      </w:r>
      <w:r w:rsidRPr="0075290F">
        <w:rPr>
          <w:rFonts w:ascii="Arial" w:hAnsi="Arial" w:cs="Arial"/>
        </w:rPr>
        <w:instrText xml:space="preserve"> SEQ Figure \* ARABIC </w:instrText>
      </w:r>
      <w:r w:rsidRPr="0075290F">
        <w:rPr>
          <w:rFonts w:ascii="Arial" w:hAnsi="Arial" w:cs="Arial"/>
        </w:rPr>
        <w:fldChar w:fldCharType="separate"/>
      </w:r>
      <w:r w:rsidR="00E814B2">
        <w:rPr>
          <w:rFonts w:ascii="Arial" w:hAnsi="Arial" w:cs="Arial"/>
          <w:noProof/>
        </w:rPr>
        <w:t>1</w:t>
      </w:r>
      <w:r w:rsidRPr="0075290F">
        <w:rPr>
          <w:rFonts w:ascii="Arial" w:hAnsi="Arial" w:cs="Arial"/>
        </w:rPr>
        <w:fldChar w:fldCharType="end"/>
      </w:r>
      <w:bookmarkEnd w:id="8"/>
      <w:r w:rsidRPr="0075290F">
        <w:rPr>
          <w:rFonts w:ascii="Arial" w:hAnsi="Arial" w:cs="Arial" w:hint="eastAsia"/>
        </w:rPr>
        <w:t xml:space="preserve">: </w:t>
      </w:r>
      <w:bookmarkEnd w:id="9"/>
      <w:r w:rsidRPr="0075290F">
        <w:rPr>
          <w:rFonts w:ascii="Arial" w:hAnsi="Arial" w:cs="Arial"/>
        </w:rPr>
        <w:t>Demodulation performance degradation might happen on any single symbol of a slot for asynchronous</w:t>
      </w:r>
    </w:p>
    <w:p w14:paraId="613ACEB7" w14:textId="77777777" w:rsidR="0075290F" w:rsidRDefault="0075290F" w:rsidP="00B0627C">
      <w:pPr>
        <w:jc w:val="both"/>
        <w:rPr>
          <w:rFonts w:ascii="Arial" w:hAnsi="Arial" w:cs="Arial"/>
        </w:rPr>
      </w:pPr>
    </w:p>
    <w:p w14:paraId="52A5E878" w14:textId="2D72DB34" w:rsidR="0041059C" w:rsidRPr="0041059C" w:rsidRDefault="0075290F" w:rsidP="0041059C">
      <w:pPr>
        <w:jc w:val="both"/>
        <w:rPr>
          <w:rFonts w:ascii="Arial" w:hAnsi="Arial" w:cs="Arial"/>
        </w:rPr>
      </w:pPr>
      <w:r>
        <w:rPr>
          <w:rFonts w:ascii="Arial" w:hAnsi="Arial" w:cs="Arial"/>
        </w:rPr>
        <w:t xml:space="preserve">We agree the </w:t>
      </w:r>
      <w:r w:rsidRPr="0075290F">
        <w:rPr>
          <w:rFonts w:ascii="Arial" w:hAnsi="Arial" w:cs="Arial"/>
        </w:rPr>
        <w:t xml:space="preserve">argument </w:t>
      </w:r>
      <w:r>
        <w:rPr>
          <w:rFonts w:ascii="Arial" w:hAnsi="Arial" w:cs="Arial"/>
        </w:rPr>
        <w:t xml:space="preserve">provided </w:t>
      </w:r>
      <w:r w:rsidR="00C774EA">
        <w:rPr>
          <w:rFonts w:ascii="Arial" w:hAnsi="Arial" w:cs="Arial"/>
        </w:rPr>
        <w:t xml:space="preserve">by </w:t>
      </w:r>
      <w:r>
        <w:rPr>
          <w:rFonts w:ascii="Arial" w:hAnsi="Arial" w:cs="Arial"/>
        </w:rPr>
        <w:t xml:space="preserve">other company that </w:t>
      </w:r>
      <w:r w:rsidR="0041059C">
        <w:rPr>
          <w:rFonts w:ascii="Arial" w:hAnsi="Arial" w:cs="Arial"/>
        </w:rPr>
        <w:t xml:space="preserve">“if </w:t>
      </w:r>
      <w:r w:rsidR="0041059C" w:rsidRPr="0041059C">
        <w:rPr>
          <w:rFonts w:ascii="Arial" w:hAnsi="Arial" w:cs="Arial"/>
        </w:rPr>
        <w:t>a symbol is expected to experience performance degradation, the impact is not going to be limited to that single symbol only. The CB which contains that symbol will likely be impacted altogether.</w:t>
      </w:r>
      <w:r w:rsidR="0041059C">
        <w:rPr>
          <w:rFonts w:ascii="Arial" w:hAnsi="Arial" w:cs="Arial"/>
        </w:rPr>
        <w:t xml:space="preserve">” However, our understanding is </w:t>
      </w:r>
      <w:r w:rsidR="00A730BC">
        <w:rPr>
          <w:rFonts w:ascii="Arial" w:hAnsi="Arial" w:cs="Arial"/>
        </w:rPr>
        <w:t xml:space="preserve">that if </w:t>
      </w:r>
      <w:r w:rsidR="00A730BC" w:rsidRPr="0041059C">
        <w:rPr>
          <w:rFonts w:ascii="Arial" w:hAnsi="Arial" w:cs="Arial"/>
        </w:rPr>
        <w:t>performance degradation</w:t>
      </w:r>
      <w:r w:rsidR="00A730BC">
        <w:rPr>
          <w:rFonts w:ascii="Arial" w:hAnsi="Arial" w:cs="Arial"/>
        </w:rPr>
        <w:t xml:space="preserve"> happens in the PDCCH decoding, this</w:t>
      </w:r>
      <w:r w:rsidR="0041059C">
        <w:rPr>
          <w:rFonts w:ascii="Arial" w:hAnsi="Arial" w:cs="Arial"/>
        </w:rPr>
        <w:t xml:space="preserve"> problem can be solved by providing appropriate configuration from the Network. For example, o</w:t>
      </w:r>
      <w:r w:rsidR="0041059C" w:rsidRPr="0041059C">
        <w:rPr>
          <w:rFonts w:ascii="Arial" w:hAnsi="Arial" w:cs="Arial"/>
        </w:rPr>
        <w:t>nce Network realize</w:t>
      </w:r>
      <w:r w:rsidR="00C774EA">
        <w:rPr>
          <w:rFonts w:ascii="Arial" w:hAnsi="Arial" w:cs="Arial"/>
        </w:rPr>
        <w:t>s</w:t>
      </w:r>
      <w:r w:rsidR="0041059C">
        <w:rPr>
          <w:rFonts w:ascii="Arial" w:hAnsi="Arial" w:cs="Arial"/>
        </w:rPr>
        <w:t xml:space="preserve"> </w:t>
      </w:r>
      <w:r w:rsidR="0041059C" w:rsidRPr="0041059C">
        <w:rPr>
          <w:rFonts w:ascii="Arial" w:hAnsi="Arial" w:cs="Arial"/>
        </w:rPr>
        <w:t>that degradation might happen in any single symbol of a slot, the</w:t>
      </w:r>
      <w:r w:rsidR="0041059C">
        <w:rPr>
          <w:rFonts w:ascii="Arial" w:hAnsi="Arial" w:cs="Arial"/>
        </w:rPr>
        <w:t>n</w:t>
      </w:r>
      <w:r w:rsidR="0041059C" w:rsidRPr="0041059C">
        <w:rPr>
          <w:rFonts w:ascii="Arial" w:hAnsi="Arial" w:cs="Arial"/>
        </w:rPr>
        <w:t xml:space="preserve"> it can repeatedly</w:t>
      </w:r>
      <w:r w:rsidR="0041059C">
        <w:rPr>
          <w:rFonts w:ascii="Arial" w:hAnsi="Arial" w:cs="Arial"/>
        </w:rPr>
        <w:t xml:space="preserve"> </w:t>
      </w:r>
      <w:r w:rsidR="0041059C" w:rsidRPr="0041059C">
        <w:rPr>
          <w:rFonts w:ascii="Arial" w:hAnsi="Arial" w:cs="Arial"/>
        </w:rPr>
        <w:t xml:space="preserve">send </w:t>
      </w:r>
      <w:r w:rsidR="0041059C">
        <w:rPr>
          <w:rFonts w:ascii="Arial" w:hAnsi="Arial" w:cs="Arial"/>
        </w:rPr>
        <w:t>the</w:t>
      </w:r>
      <w:r w:rsidR="0041059C" w:rsidRPr="0041059C">
        <w:rPr>
          <w:rFonts w:ascii="Arial" w:hAnsi="Arial" w:cs="Arial"/>
        </w:rPr>
        <w:t xml:space="preserve"> same DCI </w:t>
      </w:r>
      <w:r w:rsidR="0041059C">
        <w:rPr>
          <w:rFonts w:ascii="Arial" w:hAnsi="Arial" w:cs="Arial"/>
        </w:rPr>
        <w:t xml:space="preserve">by </w:t>
      </w:r>
      <w:r w:rsidR="0041059C" w:rsidRPr="0041059C">
        <w:rPr>
          <w:rFonts w:ascii="Arial" w:hAnsi="Arial" w:cs="Arial"/>
        </w:rPr>
        <w:t xml:space="preserve">3 times and adjust the corresponding configurations to overcome that problem, i.e., </w:t>
      </w:r>
      <w:r w:rsidR="0041059C">
        <w:rPr>
          <w:rFonts w:ascii="Arial" w:hAnsi="Arial" w:cs="Arial" w:hint="eastAsia"/>
        </w:rPr>
        <w:t>N</w:t>
      </w:r>
      <w:r w:rsidR="0041059C">
        <w:rPr>
          <w:rFonts w:ascii="Arial" w:hAnsi="Arial" w:cs="Arial"/>
        </w:rPr>
        <w:t xml:space="preserve">etwork can </w:t>
      </w:r>
      <w:r w:rsidR="0041059C" w:rsidRPr="0041059C">
        <w:rPr>
          <w:rFonts w:ascii="Arial" w:hAnsi="Arial" w:cs="Arial"/>
        </w:rPr>
        <w:t xml:space="preserve">configure 3 1-symbol CORESET to </w:t>
      </w:r>
      <w:r w:rsidR="0041059C">
        <w:rPr>
          <w:rFonts w:ascii="Arial" w:hAnsi="Arial" w:cs="Arial"/>
        </w:rPr>
        <w:t xml:space="preserve">the </w:t>
      </w:r>
      <w:r w:rsidR="0041059C" w:rsidRPr="0041059C">
        <w:rPr>
          <w:rFonts w:ascii="Arial" w:hAnsi="Arial" w:cs="Arial"/>
        </w:rPr>
        <w:t xml:space="preserve">UE </w:t>
      </w:r>
    </w:p>
    <w:p w14:paraId="41D420BB" w14:textId="77777777" w:rsidR="0041059C" w:rsidRPr="0041059C" w:rsidRDefault="0041059C" w:rsidP="0041059C">
      <w:pPr>
        <w:ind w:left="568"/>
        <w:jc w:val="both"/>
        <w:rPr>
          <w:rFonts w:ascii="Arial" w:hAnsi="Arial" w:cs="Arial"/>
        </w:rPr>
      </w:pPr>
      <w:r w:rsidRPr="0041059C">
        <w:rPr>
          <w:rFonts w:ascii="Arial" w:hAnsi="Arial" w:cs="Arial"/>
        </w:rPr>
        <w:t>for CORESET 1: monitoringSymbolsWithinSlot = {1,0,0,0,0,0,0,0,0,0,0,0,0,0}</w:t>
      </w:r>
    </w:p>
    <w:p w14:paraId="01F8774F" w14:textId="77777777" w:rsidR="0041059C" w:rsidRPr="0041059C" w:rsidRDefault="0041059C" w:rsidP="0041059C">
      <w:pPr>
        <w:ind w:left="568"/>
        <w:jc w:val="both"/>
        <w:rPr>
          <w:rFonts w:ascii="Arial" w:hAnsi="Arial" w:cs="Arial"/>
        </w:rPr>
      </w:pPr>
      <w:r w:rsidRPr="0041059C">
        <w:rPr>
          <w:rFonts w:ascii="Arial" w:hAnsi="Arial" w:cs="Arial"/>
        </w:rPr>
        <w:t>for CORESET 2: monitoringSymbolsWithinSlot = {0,1,0,0,0,0,0,0,0,0,0,0,0,0}</w:t>
      </w:r>
    </w:p>
    <w:p w14:paraId="60689276" w14:textId="3405CF37" w:rsidR="0075290F" w:rsidRDefault="0041059C" w:rsidP="0041059C">
      <w:pPr>
        <w:ind w:left="568"/>
        <w:jc w:val="both"/>
        <w:rPr>
          <w:rFonts w:ascii="Arial" w:hAnsi="Arial" w:cs="Arial"/>
        </w:rPr>
      </w:pPr>
      <w:r w:rsidRPr="0041059C">
        <w:rPr>
          <w:rFonts w:ascii="Arial" w:hAnsi="Arial" w:cs="Arial"/>
        </w:rPr>
        <w:t>for CORESET 3: monitoringSymbolsWithinSlot = {0,0,1,0,0,0,0,0,0,0,0,0,0,0}.</w:t>
      </w:r>
    </w:p>
    <w:p w14:paraId="26C792B5" w14:textId="77777777" w:rsidR="0075290F" w:rsidRDefault="0075290F" w:rsidP="00B0627C">
      <w:pPr>
        <w:jc w:val="both"/>
        <w:rPr>
          <w:rFonts w:ascii="Arial" w:hAnsi="Arial" w:cs="Arial"/>
        </w:rPr>
      </w:pPr>
    </w:p>
    <w:p w14:paraId="137FA83F" w14:textId="69FA23D6" w:rsidR="0075290F" w:rsidRDefault="00A730BC" w:rsidP="00B0627C">
      <w:pPr>
        <w:jc w:val="both"/>
        <w:rPr>
          <w:rFonts w:ascii="Arial" w:hAnsi="Arial" w:cs="Arial"/>
        </w:rPr>
      </w:pPr>
      <w:r>
        <w:rPr>
          <w:rFonts w:ascii="Arial" w:hAnsi="Arial" w:cs="Arial"/>
        </w:rPr>
        <w:lastRenderedPageBreak/>
        <w:t xml:space="preserve">If </w:t>
      </w:r>
      <w:r w:rsidRPr="0041059C">
        <w:rPr>
          <w:rFonts w:ascii="Arial" w:hAnsi="Arial" w:cs="Arial"/>
        </w:rPr>
        <w:t>performance degradation</w:t>
      </w:r>
      <w:r>
        <w:rPr>
          <w:rFonts w:ascii="Arial" w:hAnsi="Arial" w:cs="Arial"/>
        </w:rPr>
        <w:t xml:space="preserve"> happens in the </w:t>
      </w:r>
      <w:r w:rsidRPr="00A730BC">
        <w:rPr>
          <w:rFonts w:ascii="Arial" w:hAnsi="Arial" w:cs="Arial"/>
        </w:rPr>
        <w:t>PDSCH decoding</w:t>
      </w:r>
      <w:r>
        <w:rPr>
          <w:rFonts w:ascii="Arial" w:hAnsi="Arial" w:cs="Arial"/>
        </w:rPr>
        <w:t xml:space="preserve"> part, it seems</w:t>
      </w:r>
      <w:r w:rsidR="00687265">
        <w:rPr>
          <w:rFonts w:ascii="Arial" w:hAnsi="Arial" w:cs="Arial"/>
        </w:rPr>
        <w:t xml:space="preserve"> to us that there is</w:t>
      </w:r>
      <w:r>
        <w:rPr>
          <w:rFonts w:ascii="Arial" w:hAnsi="Arial" w:cs="Arial"/>
        </w:rPr>
        <w:t xml:space="preserve"> no </w:t>
      </w:r>
      <w:r w:rsidR="00687265">
        <w:rPr>
          <w:rFonts w:ascii="Arial" w:hAnsi="Arial" w:cs="Arial"/>
        </w:rPr>
        <w:t xml:space="preserve">appropriate configuration can be applied. Therefore, one way we can think about is to </w:t>
      </w:r>
      <w:r>
        <w:rPr>
          <w:rFonts w:ascii="Arial" w:hAnsi="Arial" w:cs="Arial"/>
        </w:rPr>
        <w:t xml:space="preserve">specify </w:t>
      </w:r>
      <w:r w:rsidR="00F21C68" w:rsidRPr="00F21C68">
        <w:rPr>
          <w:rFonts w:ascii="Arial" w:hAnsi="Arial" w:cs="Arial"/>
        </w:rPr>
        <w:t>demodulation performance degradation is expected</w:t>
      </w:r>
      <w:r w:rsidR="00F21C68">
        <w:rPr>
          <w:rFonts w:ascii="Arial" w:hAnsi="Arial" w:cs="Arial"/>
        </w:rPr>
        <w:t xml:space="preserve">, and let the </w:t>
      </w:r>
      <w:r w:rsidR="00F21C68" w:rsidRPr="00F21C68">
        <w:rPr>
          <w:rFonts w:ascii="Arial" w:hAnsi="Arial" w:cs="Arial"/>
        </w:rPr>
        <w:t>exact location(s) of OFDM symbol(s) where the interruption may occur</w:t>
      </w:r>
      <w:r w:rsidR="00F21C68" w:rsidRPr="00F21C68">
        <w:rPr>
          <w:rFonts w:ascii="Arial" w:hAnsi="Arial" w:cs="Arial"/>
        </w:rPr>
        <w:t xml:space="preserve"> </w:t>
      </w:r>
      <w:r w:rsidR="00F21C68">
        <w:rPr>
          <w:rFonts w:ascii="Arial" w:hAnsi="Arial" w:cs="Arial"/>
        </w:rPr>
        <w:t>for future study.</w:t>
      </w:r>
      <w:r w:rsidR="00687265">
        <w:rPr>
          <w:rFonts w:ascii="Arial" w:hAnsi="Arial" w:cs="Arial"/>
        </w:rPr>
        <w:t xml:space="preserve"> So we propose that</w:t>
      </w:r>
    </w:p>
    <w:p w14:paraId="0B5889F0" w14:textId="0B81FFEE" w:rsidR="00D57B41" w:rsidRDefault="00F135F7" w:rsidP="0041059C">
      <w:pPr>
        <w:pStyle w:val="Caption"/>
        <w:rPr>
          <w:rFonts w:ascii="Arial" w:hAnsi="Arial" w:cs="Arial"/>
        </w:rPr>
      </w:pPr>
      <w:bookmarkStart w:id="10" w:name="_Ref54213898"/>
      <w:bookmarkStart w:id="11" w:name="_Ref47557821"/>
      <w:r w:rsidRPr="00F135F7">
        <w:rPr>
          <w:rFonts w:ascii="Arial" w:hAnsi="Arial" w:cs="Arial"/>
          <w:i/>
          <w:sz w:val="22"/>
          <w:szCs w:val="22"/>
        </w:rPr>
        <w:t xml:space="preserve">Proposal </w:t>
      </w:r>
      <w:r w:rsidRPr="00F135F7">
        <w:rPr>
          <w:rFonts w:ascii="Arial" w:hAnsi="Arial" w:cs="Arial"/>
          <w:i/>
          <w:sz w:val="22"/>
          <w:szCs w:val="22"/>
        </w:rPr>
        <w:fldChar w:fldCharType="begin"/>
      </w:r>
      <w:r w:rsidRPr="00F135F7">
        <w:rPr>
          <w:rFonts w:ascii="Arial" w:hAnsi="Arial" w:cs="Arial"/>
          <w:i/>
          <w:sz w:val="22"/>
          <w:szCs w:val="22"/>
        </w:rPr>
        <w:instrText xml:space="preserve"> SEQ Proposal \* ARABIC </w:instrText>
      </w:r>
      <w:r w:rsidRPr="00F135F7">
        <w:rPr>
          <w:rFonts w:ascii="Arial" w:hAnsi="Arial" w:cs="Arial"/>
          <w:i/>
          <w:sz w:val="22"/>
          <w:szCs w:val="22"/>
        </w:rPr>
        <w:fldChar w:fldCharType="separate"/>
      </w:r>
      <w:r w:rsidR="00E814B2">
        <w:rPr>
          <w:rFonts w:ascii="Arial" w:hAnsi="Arial" w:cs="Arial"/>
          <w:i/>
          <w:noProof/>
          <w:sz w:val="22"/>
          <w:szCs w:val="22"/>
        </w:rPr>
        <w:t>1</w:t>
      </w:r>
      <w:r w:rsidRPr="00F135F7">
        <w:rPr>
          <w:rFonts w:ascii="Arial" w:hAnsi="Arial" w:cs="Arial"/>
          <w:i/>
          <w:sz w:val="22"/>
          <w:szCs w:val="22"/>
        </w:rPr>
        <w:fldChar w:fldCharType="end"/>
      </w:r>
      <w:r w:rsidRPr="00F135F7">
        <w:rPr>
          <w:rFonts w:ascii="Arial" w:hAnsi="Arial" w:cs="Arial"/>
          <w:i/>
          <w:sz w:val="22"/>
          <w:szCs w:val="22"/>
        </w:rPr>
        <w:t xml:space="preserve">: </w:t>
      </w:r>
      <w:bookmarkStart w:id="12" w:name="_GoBack"/>
      <w:bookmarkEnd w:id="11"/>
      <w:r w:rsidR="00A730BC">
        <w:rPr>
          <w:rFonts w:ascii="Arial" w:hAnsi="Arial" w:cs="Arial"/>
          <w:i/>
          <w:sz w:val="22"/>
          <w:szCs w:val="22"/>
        </w:rPr>
        <w:t>F</w:t>
      </w:r>
      <w:r w:rsidR="00A730BC" w:rsidRPr="0041059C">
        <w:rPr>
          <w:rFonts w:ascii="Arial" w:hAnsi="Arial" w:cs="Arial"/>
          <w:i/>
          <w:sz w:val="22"/>
          <w:szCs w:val="22"/>
        </w:rPr>
        <w:t>or asynchronous intra-frequency DAPS handover and asynchronous intra-band inter-frequency DAPS handover</w:t>
      </w:r>
      <w:r w:rsidR="00E814B2">
        <w:rPr>
          <w:rFonts w:ascii="Arial" w:hAnsi="Arial" w:cs="Arial"/>
          <w:i/>
          <w:sz w:val="22"/>
          <w:szCs w:val="22"/>
        </w:rPr>
        <w:t xml:space="preserve">, </w:t>
      </w:r>
      <w:r w:rsidR="00F21C68" w:rsidRPr="00F21C68">
        <w:rPr>
          <w:rFonts w:ascii="Arial" w:hAnsi="Arial" w:cs="Arial"/>
          <w:i/>
          <w:sz w:val="22"/>
          <w:szCs w:val="22"/>
        </w:rPr>
        <w:t>if the receive time difference exceeds the cyclic prefix length of that SCS, demodulation performance degradation is expected</w:t>
      </w:r>
      <w:r w:rsidR="00C6104B">
        <w:rPr>
          <w:rFonts w:ascii="Arial" w:hAnsi="Arial" w:cs="Arial"/>
          <w:i/>
          <w:sz w:val="22"/>
          <w:szCs w:val="22"/>
        </w:rPr>
        <w:t xml:space="preserve">. </w:t>
      </w:r>
      <w:r w:rsidR="00F21C68" w:rsidRPr="00F21C68">
        <w:rPr>
          <w:rFonts w:ascii="Arial" w:hAnsi="Arial" w:cs="Arial"/>
          <w:i/>
          <w:sz w:val="22"/>
          <w:szCs w:val="22"/>
        </w:rPr>
        <w:t>FFS the exact location(s) of OFDM symbol(s) where the interruption may occur</w:t>
      </w:r>
      <w:bookmarkEnd w:id="12"/>
      <w:r w:rsidR="00C6104B">
        <w:rPr>
          <w:rFonts w:ascii="Arial" w:hAnsi="Arial" w:cs="Arial"/>
          <w:i/>
          <w:sz w:val="22"/>
          <w:szCs w:val="22"/>
        </w:rPr>
        <w:t>.</w:t>
      </w:r>
      <w:r w:rsidR="00E814B2" w:rsidRPr="00E814B2">
        <w:rPr>
          <w:rFonts w:ascii="Arial" w:hAnsi="Arial" w:cs="Arial"/>
          <w:i/>
          <w:sz w:val="22"/>
          <w:szCs w:val="22"/>
        </w:rPr>
        <w:t xml:space="preserve"> </w:t>
      </w:r>
      <w:bookmarkEnd w:id="10"/>
    </w:p>
    <w:p w14:paraId="7AF722E5" w14:textId="5BE6DC82" w:rsidR="00F135F7" w:rsidRPr="00F135F7" w:rsidRDefault="00F135F7" w:rsidP="00F135F7">
      <w:r>
        <w:rPr>
          <w:rFonts w:ascii="Arial" w:hAnsi="Arial" w:cs="Arial"/>
        </w:rPr>
        <w:t xml:space="preserve">A revised version can be found in our CR </w:t>
      </w:r>
      <w:r>
        <w:rPr>
          <w:rFonts w:ascii="Arial" w:hAnsi="Arial" w:cs="Arial"/>
        </w:rPr>
        <w:fldChar w:fldCharType="begin"/>
      </w:r>
      <w:r>
        <w:rPr>
          <w:rFonts w:ascii="Arial" w:hAnsi="Arial" w:cs="Arial"/>
        </w:rPr>
        <w:instrText xml:space="preserve"> REF _Ref47555255 \n \h </w:instrText>
      </w:r>
      <w:r>
        <w:rPr>
          <w:rFonts w:ascii="Arial" w:hAnsi="Arial" w:cs="Arial"/>
        </w:rPr>
      </w:r>
      <w:r>
        <w:rPr>
          <w:rFonts w:ascii="Arial" w:hAnsi="Arial" w:cs="Arial"/>
        </w:rPr>
        <w:fldChar w:fldCharType="separate"/>
      </w:r>
      <w:r w:rsidR="00E814B2">
        <w:rPr>
          <w:rFonts w:ascii="Arial" w:hAnsi="Arial" w:cs="Arial"/>
        </w:rPr>
        <w:t>[3]</w:t>
      </w:r>
      <w:r>
        <w:rPr>
          <w:rFonts w:ascii="Arial" w:hAnsi="Arial" w:cs="Arial"/>
        </w:rPr>
        <w:fldChar w:fldCharType="end"/>
      </w:r>
      <w:r>
        <w:rPr>
          <w:rFonts w:ascii="Arial" w:hAnsi="Arial" w:cs="Arial"/>
        </w:rPr>
        <w:t>.</w:t>
      </w:r>
    </w:p>
    <w:bookmarkEnd w:id="0"/>
    <w:bookmarkEnd w:id="1"/>
    <w:bookmarkEnd w:id="3"/>
    <w:bookmarkEnd w:id="4"/>
    <w:bookmarkEnd w:id="5"/>
    <w:bookmarkEnd w:id="6"/>
    <w:p w14:paraId="3D0DE51E" w14:textId="68383663" w:rsidR="00B0627C" w:rsidRPr="009F29FB" w:rsidRDefault="00AB3275" w:rsidP="00B0627C">
      <w:pPr>
        <w:pStyle w:val="Heading1"/>
        <w:jc w:val="both"/>
        <w:rPr>
          <w:rFonts w:cs="Arial"/>
          <w:color w:val="000000" w:themeColor="text1"/>
        </w:rPr>
      </w:pPr>
      <w:r>
        <w:rPr>
          <w:rFonts w:cs="Arial"/>
          <w:color w:val="000000" w:themeColor="text1"/>
        </w:rPr>
        <w:t>5</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2A501F93" w14:textId="09CD1DF9" w:rsidR="00C774EA" w:rsidRPr="00C774EA" w:rsidRDefault="00C774EA" w:rsidP="00A52D29">
      <w:pPr>
        <w:pStyle w:val="TAL"/>
        <w:jc w:val="both"/>
        <w:rPr>
          <w:rFonts w:eastAsia="SimSun" w:cs="Arial"/>
          <w:b/>
          <w:i/>
          <w:sz w:val="22"/>
        </w:rPr>
      </w:pPr>
      <w:r w:rsidRPr="00C774EA">
        <w:rPr>
          <w:rFonts w:eastAsia="SimSun" w:cs="Arial"/>
          <w:b/>
          <w:i/>
          <w:sz w:val="22"/>
        </w:rPr>
        <w:fldChar w:fldCharType="begin"/>
      </w:r>
      <w:r w:rsidRPr="00C774EA">
        <w:rPr>
          <w:rFonts w:eastAsia="SimSun" w:cs="Arial"/>
          <w:b/>
          <w:i/>
          <w:sz w:val="22"/>
        </w:rPr>
        <w:instrText xml:space="preserve"> REF _Ref54213898 \h </w:instrText>
      </w:r>
      <w:r>
        <w:rPr>
          <w:rFonts w:eastAsia="SimSun" w:cs="Arial"/>
          <w:b/>
          <w:i/>
          <w:sz w:val="22"/>
        </w:rPr>
        <w:instrText xml:space="preserve"> \* MERGEFORMAT </w:instrText>
      </w:r>
      <w:r w:rsidRPr="00C774EA">
        <w:rPr>
          <w:rFonts w:eastAsia="SimSun" w:cs="Arial"/>
          <w:b/>
          <w:i/>
          <w:sz w:val="22"/>
        </w:rPr>
      </w:r>
      <w:r w:rsidRPr="00C774EA">
        <w:rPr>
          <w:rFonts w:eastAsia="SimSun" w:cs="Arial"/>
          <w:b/>
          <w:i/>
          <w:sz w:val="22"/>
        </w:rPr>
        <w:fldChar w:fldCharType="separate"/>
      </w:r>
      <w:r w:rsidR="00C6104B" w:rsidRPr="00C6104B">
        <w:rPr>
          <w:rFonts w:eastAsia="SimSun" w:cs="Arial"/>
          <w:b/>
          <w:i/>
          <w:sz w:val="22"/>
        </w:rPr>
        <w:t xml:space="preserve">Proposal 1: For asynchronous intra-frequency DAPS handover and asynchronous intra-band inter-frequency DAPS handover, demodulation performance degradation might happen on any single symbol of the first 3 symbols of a slot. There is no UE requirement expected if MRTD is larger than 3 OFDM symbol length. </w:t>
      </w:r>
      <w:r w:rsidRPr="00C774EA">
        <w:rPr>
          <w:rFonts w:eastAsia="SimSun" w:cs="Arial"/>
          <w:b/>
          <w:i/>
          <w:sz w:val="22"/>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24C42C6E" w:rsidR="009E6681" w:rsidRDefault="003356D7" w:rsidP="003356D7">
      <w:pPr>
        <w:pStyle w:val="ListParagraph"/>
        <w:numPr>
          <w:ilvl w:val="0"/>
          <w:numId w:val="1"/>
        </w:numPr>
        <w:ind w:right="72"/>
        <w:rPr>
          <w:rFonts w:ascii="Arial" w:hAnsi="Arial" w:cs="Arial"/>
        </w:rPr>
      </w:pPr>
      <w:bookmarkStart w:id="13" w:name="_Ref24030473"/>
      <w:bookmarkStart w:id="14" w:name="_Ref7353143"/>
      <w:r w:rsidRPr="003356D7">
        <w:rPr>
          <w:rFonts w:ascii="Arial" w:hAnsi="Arial" w:cs="Arial"/>
        </w:rPr>
        <w:t>R4-2012270</w:t>
      </w:r>
      <w:r w:rsidR="009E6681">
        <w:rPr>
          <w:rFonts w:ascii="Arial" w:hAnsi="Arial" w:cs="Arial"/>
        </w:rPr>
        <w:t xml:space="preserve">, </w:t>
      </w:r>
      <w:r w:rsidR="00553CD3" w:rsidRPr="00553CD3">
        <w:rPr>
          <w:rFonts w:ascii="Arial" w:hAnsi="Arial" w:cs="Arial"/>
        </w:rPr>
        <w:t>WF on NR Mobility Enhancements</w:t>
      </w:r>
      <w:r w:rsidR="009E6681">
        <w:rPr>
          <w:rFonts w:ascii="Arial" w:hAnsi="Arial" w:cs="Arial"/>
        </w:rPr>
        <w:t xml:space="preserve">, </w:t>
      </w:r>
      <w:r w:rsidR="00553CD3">
        <w:rPr>
          <w:rFonts w:ascii="Arial" w:hAnsi="Arial" w:cs="Arial"/>
        </w:rPr>
        <w:t>Intel</w:t>
      </w:r>
      <w:r w:rsidR="001C638B" w:rsidRPr="005660DB">
        <w:rPr>
          <w:rFonts w:ascii="Arial" w:hAnsi="Arial" w:cs="Arial"/>
        </w:rPr>
        <w:t>,</w:t>
      </w:r>
      <w:r w:rsidR="001C638B">
        <w:rPr>
          <w:rFonts w:ascii="Arial" w:hAnsi="Arial" w:cs="Arial"/>
        </w:rPr>
        <w:t xml:space="preserve"> </w:t>
      </w:r>
      <w:r>
        <w:rPr>
          <w:rFonts w:ascii="Arial" w:hAnsi="Arial" w:cs="Arial"/>
        </w:rPr>
        <w:t>Aug</w:t>
      </w:r>
      <w:r w:rsidR="009E6681">
        <w:rPr>
          <w:rFonts w:ascii="Arial" w:hAnsi="Arial" w:cs="Arial"/>
        </w:rPr>
        <w:t xml:space="preserve">., </w:t>
      </w:r>
      <w:r w:rsidR="006952C1">
        <w:rPr>
          <w:rFonts w:ascii="Arial" w:hAnsi="Arial" w:cs="Arial"/>
        </w:rPr>
        <w:t>2020</w:t>
      </w:r>
      <w:r w:rsidR="009E6681">
        <w:rPr>
          <w:rFonts w:ascii="Arial" w:hAnsi="Arial" w:cs="Arial"/>
        </w:rPr>
        <w:t>.</w:t>
      </w:r>
      <w:bookmarkEnd w:id="13"/>
    </w:p>
    <w:p w14:paraId="0E02DB0C" w14:textId="3FE3345B" w:rsidR="00553CD3" w:rsidRDefault="003356D7" w:rsidP="003356D7">
      <w:pPr>
        <w:pStyle w:val="ListParagraph"/>
        <w:numPr>
          <w:ilvl w:val="0"/>
          <w:numId w:val="1"/>
        </w:numPr>
        <w:ind w:right="72"/>
        <w:rPr>
          <w:rFonts w:ascii="Arial" w:hAnsi="Arial" w:cs="Arial"/>
        </w:rPr>
      </w:pPr>
      <w:bookmarkStart w:id="15" w:name="_Ref47553521"/>
      <w:r w:rsidRPr="003356D7">
        <w:rPr>
          <w:rFonts w:ascii="Arial" w:hAnsi="Arial" w:cs="Arial"/>
        </w:rPr>
        <w:t>R4-2012265</w:t>
      </w:r>
      <w:r w:rsidR="00553CD3">
        <w:rPr>
          <w:rFonts w:ascii="Arial" w:hAnsi="Arial" w:cs="Arial"/>
        </w:rPr>
        <w:t xml:space="preserve">, </w:t>
      </w:r>
      <w:r w:rsidRPr="003356D7">
        <w:rPr>
          <w:rFonts w:ascii="Arial" w:hAnsi="Arial" w:cs="Arial"/>
        </w:rPr>
        <w:t>CR on TS38.133 for dual active protocol stack handover (Section 6.1.3)</w:t>
      </w:r>
      <w:r w:rsidR="00553CD3">
        <w:rPr>
          <w:rFonts w:ascii="Arial" w:hAnsi="Arial" w:cs="Arial"/>
        </w:rPr>
        <w:t xml:space="preserve">, </w:t>
      </w:r>
      <w:r>
        <w:rPr>
          <w:rFonts w:ascii="Arial" w:hAnsi="Arial" w:cs="Arial"/>
        </w:rPr>
        <w:t>Mediatek Inc</w:t>
      </w:r>
      <w:r w:rsidR="00553CD3" w:rsidRPr="005660DB">
        <w:rPr>
          <w:rFonts w:ascii="Arial" w:hAnsi="Arial" w:cs="Arial"/>
        </w:rPr>
        <w:t>,</w:t>
      </w:r>
      <w:r w:rsidR="00553CD3">
        <w:rPr>
          <w:rFonts w:ascii="Arial" w:hAnsi="Arial" w:cs="Arial"/>
        </w:rPr>
        <w:t xml:space="preserve"> </w:t>
      </w:r>
      <w:r>
        <w:rPr>
          <w:rFonts w:ascii="Arial" w:hAnsi="Arial" w:cs="Arial"/>
        </w:rPr>
        <w:t>Aug</w:t>
      </w:r>
      <w:r w:rsidR="00553CD3">
        <w:rPr>
          <w:rFonts w:ascii="Arial" w:hAnsi="Arial" w:cs="Arial"/>
        </w:rPr>
        <w:t>., 2020.</w:t>
      </w:r>
      <w:bookmarkEnd w:id="15"/>
    </w:p>
    <w:p w14:paraId="4D14A4A5" w14:textId="5D30AA59" w:rsidR="00F135F7" w:rsidRPr="00F135F7" w:rsidRDefault="00C6104B" w:rsidP="00C6104B">
      <w:pPr>
        <w:pStyle w:val="ListParagraph"/>
        <w:numPr>
          <w:ilvl w:val="0"/>
          <w:numId w:val="1"/>
        </w:numPr>
        <w:ind w:right="72"/>
        <w:rPr>
          <w:rFonts w:ascii="Arial" w:hAnsi="Arial" w:cs="Arial"/>
        </w:rPr>
      </w:pPr>
      <w:bookmarkStart w:id="16" w:name="_Ref47555255"/>
      <w:r w:rsidRPr="00C6104B">
        <w:rPr>
          <w:rFonts w:ascii="Arial" w:hAnsi="Arial" w:cs="Arial"/>
        </w:rPr>
        <w:t>R4-2014358</w:t>
      </w:r>
      <w:r w:rsidR="00F135F7">
        <w:rPr>
          <w:rFonts w:ascii="Arial" w:hAnsi="Arial" w:cs="Arial"/>
        </w:rPr>
        <w:t xml:space="preserve">, </w:t>
      </w:r>
      <w:r w:rsidR="00F135F7" w:rsidRPr="00F135F7">
        <w:rPr>
          <w:rFonts w:ascii="Arial" w:hAnsi="Arial" w:cs="Arial"/>
        </w:rPr>
        <w:t>CR on TS38.133 for dual active protocol stack handover (Section 6.1.3)</w:t>
      </w:r>
      <w:r w:rsidR="00F135F7">
        <w:rPr>
          <w:rFonts w:ascii="Arial" w:hAnsi="Arial" w:cs="Arial"/>
        </w:rPr>
        <w:t>, Mediatek Inc.</w:t>
      </w:r>
      <w:r w:rsidR="00F135F7" w:rsidRPr="005660DB">
        <w:rPr>
          <w:rFonts w:ascii="Arial" w:hAnsi="Arial" w:cs="Arial"/>
        </w:rPr>
        <w:t>,</w:t>
      </w:r>
      <w:r w:rsidR="00F135F7">
        <w:rPr>
          <w:rFonts w:ascii="Arial" w:hAnsi="Arial" w:cs="Arial"/>
        </w:rPr>
        <w:t xml:space="preserve"> </w:t>
      </w:r>
      <w:r w:rsidR="00687265">
        <w:rPr>
          <w:rFonts w:ascii="Arial" w:hAnsi="Arial" w:cs="Arial"/>
        </w:rPr>
        <w:t>Nov</w:t>
      </w:r>
      <w:r w:rsidR="00F135F7">
        <w:rPr>
          <w:rFonts w:ascii="Arial" w:hAnsi="Arial" w:cs="Arial"/>
        </w:rPr>
        <w:t>., 2020.</w:t>
      </w:r>
      <w:bookmarkEnd w:id="16"/>
    </w:p>
    <w:p w14:paraId="6FD93741" w14:textId="77777777" w:rsidR="0018324F" w:rsidRPr="0018324F" w:rsidRDefault="0018324F" w:rsidP="0018324F">
      <w:pPr>
        <w:ind w:right="72"/>
        <w:rPr>
          <w:rFonts w:ascii="Arial" w:hAnsi="Arial" w:cs="Arial"/>
        </w:rPr>
      </w:pPr>
      <w:bookmarkStart w:id="17" w:name="_Ref32343189"/>
    </w:p>
    <w:bookmarkEnd w:id="14"/>
    <w:bookmarkEnd w:id="17"/>
    <w:p w14:paraId="77F05B53" w14:textId="77777777" w:rsidR="00415949" w:rsidRPr="00B0627C" w:rsidRDefault="00415949" w:rsidP="005A051B"/>
    <w:sectPr w:rsidR="00415949" w:rsidRPr="00B0627C"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C18B3" w14:textId="77777777" w:rsidR="00814137" w:rsidRDefault="00814137">
      <w:r>
        <w:separator/>
      </w:r>
    </w:p>
  </w:endnote>
  <w:endnote w:type="continuationSeparator" w:id="0">
    <w:p w14:paraId="1D47BA1A" w14:textId="77777777" w:rsidR="00814137" w:rsidRDefault="0081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40508" w14:textId="77777777" w:rsidR="00814137" w:rsidRDefault="00814137">
      <w:r>
        <w:separator/>
      </w:r>
    </w:p>
  </w:footnote>
  <w:footnote w:type="continuationSeparator" w:id="0">
    <w:p w14:paraId="58BAD6F8" w14:textId="77777777" w:rsidR="00814137" w:rsidRDefault="00814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1511F3"/>
    <w:multiLevelType w:val="hybridMultilevel"/>
    <w:tmpl w:val="90A4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F1086A"/>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4B762C"/>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D3257"/>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45A5442"/>
    <w:multiLevelType w:val="hybridMultilevel"/>
    <w:tmpl w:val="51941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B17F23"/>
    <w:multiLevelType w:val="hybridMultilevel"/>
    <w:tmpl w:val="4E7C8298"/>
    <w:lvl w:ilvl="0" w:tplc="766ED18A">
      <w:start w:val="1"/>
      <w:numFmt w:val="bullet"/>
      <w:lvlText w:val="─"/>
      <w:lvlJc w:val="left"/>
      <w:pPr>
        <w:tabs>
          <w:tab w:val="num" w:pos="720"/>
        </w:tabs>
        <w:ind w:left="720" w:hanging="360"/>
      </w:pPr>
      <w:rPr>
        <w:rFonts w:ascii="Calibri" w:hAnsi="Calibri" w:hint="default"/>
      </w:rPr>
    </w:lvl>
    <w:lvl w:ilvl="1" w:tplc="2B5A8CC6">
      <w:start w:val="76"/>
      <w:numFmt w:val="bullet"/>
      <w:lvlText w:val=""/>
      <w:lvlJc w:val="left"/>
      <w:pPr>
        <w:tabs>
          <w:tab w:val="num" w:pos="1440"/>
        </w:tabs>
        <w:ind w:left="1440" w:hanging="360"/>
      </w:pPr>
      <w:rPr>
        <w:rFonts w:ascii="Wingdings" w:hAnsi="Wingdings" w:hint="default"/>
      </w:rPr>
    </w:lvl>
    <w:lvl w:ilvl="2" w:tplc="2228A752" w:tentative="1">
      <w:start w:val="1"/>
      <w:numFmt w:val="bullet"/>
      <w:lvlText w:val="─"/>
      <w:lvlJc w:val="left"/>
      <w:pPr>
        <w:tabs>
          <w:tab w:val="num" w:pos="2160"/>
        </w:tabs>
        <w:ind w:left="2160" w:hanging="360"/>
      </w:pPr>
      <w:rPr>
        <w:rFonts w:ascii="Calibri" w:hAnsi="Calibri" w:hint="default"/>
      </w:rPr>
    </w:lvl>
    <w:lvl w:ilvl="3" w:tplc="6A4A320E" w:tentative="1">
      <w:start w:val="1"/>
      <w:numFmt w:val="bullet"/>
      <w:lvlText w:val="─"/>
      <w:lvlJc w:val="left"/>
      <w:pPr>
        <w:tabs>
          <w:tab w:val="num" w:pos="2880"/>
        </w:tabs>
        <w:ind w:left="2880" w:hanging="360"/>
      </w:pPr>
      <w:rPr>
        <w:rFonts w:ascii="Calibri" w:hAnsi="Calibri" w:hint="default"/>
      </w:rPr>
    </w:lvl>
    <w:lvl w:ilvl="4" w:tplc="B71C2644" w:tentative="1">
      <w:start w:val="1"/>
      <w:numFmt w:val="bullet"/>
      <w:lvlText w:val="─"/>
      <w:lvlJc w:val="left"/>
      <w:pPr>
        <w:tabs>
          <w:tab w:val="num" w:pos="3600"/>
        </w:tabs>
        <w:ind w:left="3600" w:hanging="360"/>
      </w:pPr>
      <w:rPr>
        <w:rFonts w:ascii="Calibri" w:hAnsi="Calibri" w:hint="default"/>
      </w:rPr>
    </w:lvl>
    <w:lvl w:ilvl="5" w:tplc="5A8AEAEE" w:tentative="1">
      <w:start w:val="1"/>
      <w:numFmt w:val="bullet"/>
      <w:lvlText w:val="─"/>
      <w:lvlJc w:val="left"/>
      <w:pPr>
        <w:tabs>
          <w:tab w:val="num" w:pos="4320"/>
        </w:tabs>
        <w:ind w:left="4320" w:hanging="360"/>
      </w:pPr>
      <w:rPr>
        <w:rFonts w:ascii="Calibri" w:hAnsi="Calibri" w:hint="default"/>
      </w:rPr>
    </w:lvl>
    <w:lvl w:ilvl="6" w:tplc="5790AF7C" w:tentative="1">
      <w:start w:val="1"/>
      <w:numFmt w:val="bullet"/>
      <w:lvlText w:val="─"/>
      <w:lvlJc w:val="left"/>
      <w:pPr>
        <w:tabs>
          <w:tab w:val="num" w:pos="5040"/>
        </w:tabs>
        <w:ind w:left="5040" w:hanging="360"/>
      </w:pPr>
      <w:rPr>
        <w:rFonts w:ascii="Calibri" w:hAnsi="Calibri" w:hint="default"/>
      </w:rPr>
    </w:lvl>
    <w:lvl w:ilvl="7" w:tplc="D64CDDD6" w:tentative="1">
      <w:start w:val="1"/>
      <w:numFmt w:val="bullet"/>
      <w:lvlText w:val="─"/>
      <w:lvlJc w:val="left"/>
      <w:pPr>
        <w:tabs>
          <w:tab w:val="num" w:pos="5760"/>
        </w:tabs>
        <w:ind w:left="5760" w:hanging="360"/>
      </w:pPr>
      <w:rPr>
        <w:rFonts w:ascii="Calibri" w:hAnsi="Calibri" w:hint="default"/>
      </w:rPr>
    </w:lvl>
    <w:lvl w:ilvl="8" w:tplc="E830236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DF6D2A"/>
    <w:multiLevelType w:val="hybridMultilevel"/>
    <w:tmpl w:val="6E3C75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43272AF"/>
    <w:multiLevelType w:val="hybridMultilevel"/>
    <w:tmpl w:val="0512C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25"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0"/>
  </w:num>
  <w:num w:numId="3">
    <w:abstractNumId w:val="25"/>
  </w:num>
  <w:num w:numId="4">
    <w:abstractNumId w:val="0"/>
  </w:num>
  <w:num w:numId="5">
    <w:abstractNumId w:val="17"/>
  </w:num>
  <w:num w:numId="6">
    <w:abstractNumId w:val="15"/>
  </w:num>
  <w:num w:numId="7">
    <w:abstractNumId w:val="11"/>
  </w:num>
  <w:num w:numId="8">
    <w:abstractNumId w:val="3"/>
  </w:num>
  <w:num w:numId="9">
    <w:abstractNumId w:val="5"/>
  </w:num>
  <w:num w:numId="10">
    <w:abstractNumId w:val="8"/>
  </w:num>
  <w:num w:numId="11">
    <w:abstractNumId w:val="22"/>
  </w:num>
  <w:num w:numId="12">
    <w:abstractNumId w:val="19"/>
  </w:num>
  <w:num w:numId="13">
    <w:abstractNumId w:val="2"/>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7"/>
  </w:num>
  <w:num w:numId="29">
    <w:abstractNumId w:val="14"/>
  </w:num>
  <w:num w:numId="30">
    <w:abstractNumId w:val="24"/>
  </w:num>
  <w:num w:numId="31">
    <w:abstractNumId w:val="13"/>
  </w:num>
  <w:num w:numId="32">
    <w:abstractNumId w:val="16"/>
  </w:num>
  <w:num w:numId="33">
    <w:abstractNumId w:val="6"/>
  </w:num>
  <w:num w:numId="34">
    <w:abstractNumId w:val="21"/>
  </w:num>
  <w:num w:numId="35">
    <w:abstractNumId w:val="20"/>
  </w:num>
  <w:num w:numId="36">
    <w:abstractNumId w:val="4"/>
  </w:num>
  <w:num w:numId="37">
    <w:abstractNumId w:val="1"/>
  </w:num>
  <w:num w:numId="3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AC4"/>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39"/>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6D7"/>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59C"/>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1FD4"/>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A9D"/>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1DAE"/>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84"/>
    <w:rsid w:val="004B3FF8"/>
    <w:rsid w:val="004B5C71"/>
    <w:rsid w:val="004B5E3A"/>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0E16"/>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265"/>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290F"/>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137"/>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0BC"/>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750"/>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104B"/>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4EA"/>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41"/>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2E4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11F"/>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14B2"/>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1C68"/>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C6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21C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C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375727">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197193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1793270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9F624-0D3C-4513-9D99-6B5983F4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2020-10-23T08:24:00Z</dcterms:created>
  <dcterms:modified xsi:type="dcterms:W3CDTF">2020-10-23T08:24:00Z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